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835"/>
        <w:gridCol w:w="3251"/>
        <w:gridCol w:w="4120"/>
      </w:tblGrid>
      <w:tr w:rsidR="006151F2" w:rsidRPr="00B21CDB" w:rsidTr="006151F2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Tomo 2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Núcleo Democracia y derechos humanos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5. Derechos Políticos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los derechos políticos de las personas que habitan y transitan en la Ciudad de México.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5.1.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Fortalecer y ampliar los mecanismos e instrumentos de participación ciudadana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49.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Consolidar mecanismos de participación de la ciudadanía, la sociedad civil y la academia para que sus resoluciones y propuestas relativas a la formulación, ejecución y evaluación de las políticas, programas y actos de gobierno sean vinculantes en la construcción de políticas públicas de la Ciudad de México.</w:t>
            </w:r>
          </w:p>
        </w:tc>
        <w:tc>
          <w:tcPr>
            <w:tcW w:w="4120" w:type="dxa"/>
            <w:vMerge w:val="restart"/>
            <w:shd w:val="clear" w:color="auto" w:fill="DBE5F1" w:themeFill="accent1" w:themeFillTint="33"/>
          </w:tcPr>
          <w:p w:rsidR="006151F2" w:rsidRPr="00B21CDB" w:rsidRDefault="006151F2" w:rsidP="002C0E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Asamblea Legislativa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b/>
                <w:szCs w:val="21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Gobierno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Instituto Electoral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Desarrollo Social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Gobierno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Órganos p</w:t>
            </w:r>
            <w:bookmarkStart w:id="0" w:name="_GoBack"/>
            <w:bookmarkEnd w:id="0"/>
            <w:r w:rsidRPr="00B21CDB">
              <w:rPr>
                <w:rFonts w:ascii="Arial" w:hAnsi="Arial" w:cs="Arial"/>
                <w:szCs w:val="21"/>
              </w:rPr>
              <w:t>olítico administrativos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50.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Diseñar y desarrollar campañas y aplicar nuevas tecnologías para promover la efectiva participación de la ciudadanía.</w:t>
            </w:r>
          </w:p>
        </w:tc>
        <w:tc>
          <w:tcPr>
            <w:tcW w:w="4120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 xml:space="preserve">51. 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>Ampliar y fortalecer las diferentes formas de participación ciudadana, dotándolas de instrumentos adecuados.</w:t>
            </w:r>
          </w:p>
        </w:tc>
        <w:tc>
          <w:tcPr>
            <w:tcW w:w="4120" w:type="dxa"/>
            <w:vMerge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52.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Contar con una Ley de Derechos Humanos para la Ciudad de México.</w:t>
            </w:r>
          </w:p>
        </w:tc>
        <w:tc>
          <w:tcPr>
            <w:tcW w:w="412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Tomo 3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Núcleo Seguridad humana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51F2" w:rsidRPr="00B21CDB" w:rsidRDefault="006151F2" w:rsidP="009E7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6. Derecho al agua y al saneamiento.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151F2" w:rsidRPr="00B21CDB" w:rsidRDefault="006151F2" w:rsidP="00DB50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el derecho al agua y al saneamiento sustentable de las personas que habitan y transitan en la Ciudad de México.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6.3.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Garantizar que las y los habitantes de la Ciudad de México cuenten con una dotación adecuada de agua potable, salubre y aceptable para usos personales y domésticos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79.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Desarrollar un índice integral de acceso al agua.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</w:tcPr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Sistema de Aguas de la Ciudad de México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Asamblea Legislativa del Distrito Federal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b/>
                <w:szCs w:val="21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Contraloría General del Distrito Federal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Ciencia, Tecnología e Innovación del Distrito Federal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Agencia de Gestión de la Ciudad de México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lastRenderedPageBreak/>
              <w:t>Consejo de Evaluación del Desarrollo Social del Distrito Federal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Órganos político-administrativos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lastRenderedPageBreak/>
              <w:t>Tomo 3</w:t>
            </w:r>
          </w:p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Núcleo Seguridad humana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13. Derecho a la salud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el derecho al disfrute del más alto nivel posible de salud física y mental de todas las personas que habitan o transitan en la Ciudad de México.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13.2.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Fortalecer la participación ciudadana y la contraloría social en materia de salud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188.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Diseñar e implementar una propuesta de consejo ciudadano que colabore en la mejora de la calidad y calidez de los servicios de salud e incida en la política pública de salud.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9E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Salud del Distrito Federal</w:t>
            </w:r>
          </w:p>
          <w:p w:rsidR="006151F2" w:rsidRPr="00B21CDB" w:rsidRDefault="006151F2" w:rsidP="009E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Contraloría General del Distrito Federa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 w:val="restart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Tomo 4</w:t>
            </w:r>
          </w:p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Núcleo Sistema de Justicia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17. Derecho de acceso a la justicia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el derecho al acceso a la justicia de todas las personas que habitan y transitan por la Ciudad de México.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17.2.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Eliminar la corrupción, abuso de autoridad e irregularidades de las instituciones garantes del derecho de acceso a la justicia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294.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Diseñar un esquema de monitoreo público de las quejas relacionadas con el incumplimiento del debido proceso, accesible para todas las personas.</w:t>
            </w:r>
          </w:p>
        </w:tc>
        <w:tc>
          <w:tcPr>
            <w:tcW w:w="4120" w:type="dxa"/>
            <w:vMerge w:val="restart"/>
          </w:tcPr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Asamblea Legislativa del Distrito Federal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Consejería Jurídica y de Servicios Legales del Distrito Federal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Consejo de la Judicatura de la Ciudad de México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b/>
                <w:szCs w:val="21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Contraloría General del Distrito Federal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Junta Local de Conciliación y Arbitraje de la Ciudad de México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Procuraduría General de Justicia del Distrito Federal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Gobierno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Seguridad Pública de la Ciudad de México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Tribunal de lo Contencioso Administrativo de la Ciudad de México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Tribunal Electoral del Distrito Federal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Tribunal Superior de Justicia de la Ciudad de México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295.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Establecer un esquema de sanciones para funcionarias y funcionarios públicos sujetos de queja.</w:t>
            </w:r>
          </w:p>
        </w:tc>
        <w:tc>
          <w:tcPr>
            <w:tcW w:w="4120" w:type="dxa"/>
            <w:vMerge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296.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Diseñar formatos de queja accesibles en todas las instituciones de justicia, que protejan la confidencialidad y asegure que no existan represalias.</w:t>
            </w:r>
          </w:p>
        </w:tc>
        <w:tc>
          <w:tcPr>
            <w:tcW w:w="4120" w:type="dxa"/>
            <w:vMerge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297.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Elaborar legislación y normatividad que permita la creación de un mecanismo de protección a personas servidoras públicas que denuncien situaciones 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lastRenderedPageBreak/>
              <w:t>irregulares o de corrupción relacionadas con el goce, ejercicio o realización de los derechos humanos.</w:t>
            </w:r>
          </w:p>
        </w:tc>
        <w:tc>
          <w:tcPr>
            <w:tcW w:w="4120" w:type="dxa"/>
            <w:vMerge/>
          </w:tcPr>
          <w:p w:rsidR="006151F2" w:rsidRPr="00B21CDB" w:rsidRDefault="006151F2" w:rsidP="003165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298.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Fortalecer al Consejo de la Judicatura de la Ciudad de México, así como a los órganos de control interno de las instituciones garantes del derecho humano de acceso a la justicia.</w:t>
            </w:r>
          </w:p>
        </w:tc>
        <w:tc>
          <w:tcPr>
            <w:tcW w:w="4120" w:type="dxa"/>
            <w:vMerge/>
            <w:tcBorders>
              <w:bottom w:val="single" w:sz="4" w:space="0" w:color="auto"/>
            </w:tcBorders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Tomo 4</w:t>
            </w:r>
          </w:p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Núcleo Sistema de Justicia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E609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18. Derecho al debido proceso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el derecho al debido proceso de todas las personas que habitan y transitan en la Ciudad de México.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18.2.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Eliminar la corrupción, abuso de autoridad e irregularidades de las instituciones garantes del derecho de acceso a la justicia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314.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Elaborar legislación y normatividad que permita la creación de un mecanismo de protección a personas servidoras públicas que denuncien situaciones irregulares o de corrupción relacionadas con el goce, ejercicio o realización de los derechos humanos.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DB50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b/>
                <w:szCs w:val="21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Contraloría General del Distrito Federal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Consejo de la Judicatura de la Ciudad de México</w:t>
            </w:r>
          </w:p>
          <w:p w:rsidR="006151F2" w:rsidRPr="00B21CDB" w:rsidRDefault="006151F2" w:rsidP="00DB50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Asamblea Legislativa del Distrito Federal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Tomo 5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Grupos de población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20. Derechos de los pueblos y comunidades indígenas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los derechos civiles, políticos, económicos, sociales, culturales y ambientales de los barrios, pueblos originarios, y comunidades indígenas y sus integrantes que habitan, transitan en la Ciudad de México.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20.6.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Promover, respetar, proteger y garantizar el ejercicio de los derechos de las mujeres de los pueblos y barrios originarios y de los pueblos y comunidades indígenas.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357.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Desarrollar y establecer programas, proyectos y actividades que ejerzan y/o promuevan el acceso a una vida libre de violencia y de discriminación de las mujeres originarias e indígenas.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Desarrollo Rural y Equidad para las Comunidades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Instituto de las Mujeres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Desarrollo Social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Órganos Políticos-Administrativos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Entidades del Gobierno de la Ciudad de México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51F2" w:rsidRPr="00B21CDB" w:rsidRDefault="006151F2" w:rsidP="00E609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359.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Incorporar medidas afirmativas en todos los programas de la Ciudad de México para garantizar todos los derechos de las mujeres indígenas y originarias desde el enfoque de los derechos 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lastRenderedPageBreak/>
              <w:t>económicos, sociales, culturales y ambientales.</w:t>
            </w:r>
          </w:p>
        </w:tc>
        <w:tc>
          <w:tcPr>
            <w:tcW w:w="4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51F2" w:rsidRPr="00B21CDB" w:rsidRDefault="006151F2" w:rsidP="00B21CDB">
            <w:pPr>
              <w:spacing w:after="0" w:line="240" w:lineRule="auto"/>
              <w:jc w:val="both"/>
              <w:rPr>
                <w:rFonts w:ascii="Arial" w:hAnsi="Arial" w:cs="Arial"/>
                <w:b/>
                <w:szCs w:val="21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lastRenderedPageBreak/>
              <w:t>Tomo 5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Grupos de población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25. Derechos de las personas con discapacidad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Respetar, proteger, promover y garantizar, bajo el principio de igualdad y no discriminación, los derechos civiles, políticos, económicos, sociales, culturales y ambientales de las personas con discapacidad que habitan y transitan en la Ciudad de México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25.5.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Incrementar las condiciones de accesibilidad en los espacios públicos, el transporte público, la información y las comunicaciones a través de los entes públicos y las demarcaciones territoriales de la Ciudad de México, conforme a los principios de ajustes razonables y progresividad (Artículo 9 Convención sobre los Derechos de las Personas con Discapacidad)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 xml:space="preserve">465. 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Designar personas monitoras de accesibilidad en todos los entes públicos, así como en </w:t>
            </w:r>
            <w:proofErr w:type="gramStart"/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>los órganos político</w:t>
            </w:r>
            <w:proofErr w:type="gramEnd"/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administrativos de la Ciudad de México para dar seguimiento a las modificaciones en materia de accesibilidad en sus cuatro dimensiones (información, comunicación, física y transporte).</w:t>
            </w:r>
          </w:p>
        </w:tc>
        <w:tc>
          <w:tcPr>
            <w:tcW w:w="4120" w:type="dxa"/>
            <w:vMerge w:val="restart"/>
            <w:shd w:val="clear" w:color="auto" w:fill="DBE5F1" w:themeFill="accent1" w:themeFillTint="33"/>
          </w:tcPr>
          <w:p w:rsidR="006151F2" w:rsidRPr="00B21CDB" w:rsidRDefault="006151F2" w:rsidP="00B00F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Instituto para la Integración al Desarrollo de las Personas con Discapacidad de la Ciudad de México</w:t>
            </w:r>
          </w:p>
          <w:p w:rsidR="006151F2" w:rsidRPr="00B21CDB" w:rsidRDefault="006151F2" w:rsidP="00B00F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b/>
                <w:szCs w:val="21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Dependencias y entidades del Gobierno de la Ciudad de México</w:t>
            </w:r>
          </w:p>
          <w:p w:rsidR="006151F2" w:rsidRPr="00B21CDB" w:rsidRDefault="006151F2" w:rsidP="00B00F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Oficialía Mayor del Gobierno de la Ciudad de México</w:t>
            </w:r>
          </w:p>
          <w:p w:rsidR="006151F2" w:rsidRPr="00B21CDB" w:rsidRDefault="006151F2" w:rsidP="00B00FF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Secretaría de Desarrollo Urbano y Vivienda</w:t>
            </w: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DBE5F1" w:themeFill="accent1" w:themeFillTint="33"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466.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Capacitar continuamente a las personas monitoras en accesibilidad de los entes públicos del Gobierno de la Ciudad de México.</w:t>
            </w:r>
          </w:p>
        </w:tc>
        <w:tc>
          <w:tcPr>
            <w:tcW w:w="4120" w:type="dxa"/>
            <w:vMerge/>
            <w:shd w:val="clear" w:color="auto" w:fill="DBE5F1" w:themeFill="accent1" w:themeFillTint="33"/>
          </w:tcPr>
          <w:p w:rsidR="006151F2" w:rsidRPr="00B21CDB" w:rsidRDefault="006151F2">
            <w:pPr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6151F2" w:rsidRPr="00B21CDB" w:rsidRDefault="006151F2" w:rsidP="003D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t>467.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 Adoptar planes de accesibilidad institucional para cada dependencia, entidades y órganos políticos administrativos de gobierno que incluyan los edificios públicos existentes y no solamente las nuevas edificaciones, así como lo relativo a la accesibilidad en la información, las comunicaciones y el transporte público.</w:t>
            </w:r>
          </w:p>
        </w:tc>
        <w:tc>
          <w:tcPr>
            <w:tcW w:w="412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51F2" w:rsidRPr="00B21CDB" w:rsidRDefault="006151F2">
            <w:pPr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</w:p>
        </w:tc>
      </w:tr>
      <w:tr w:rsidR="006151F2" w:rsidRPr="00B21CDB" w:rsidTr="006151F2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Tomo 5</w:t>
            </w: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</w:p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Grupos de población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t>29. Derechos de las poblaciones callejeras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 xml:space="preserve">Respetar, proteger, promover y garantizar bajo el principio de igualdad y no discriminación los </w:t>
            </w:r>
            <w:r w:rsidRPr="00B21CDB">
              <w:rPr>
                <w:rFonts w:ascii="Arial" w:hAnsi="Arial" w:cs="Arial"/>
                <w:szCs w:val="21"/>
              </w:rPr>
              <w:lastRenderedPageBreak/>
              <w:t>derechos civiles, políticos, económicos, sociales, culturales y ambientales de las poblaciones callejeras que habitan y transitan en la Ciudad de México.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es-MX"/>
              </w:rPr>
              <w:lastRenderedPageBreak/>
              <w:t>29.4.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t xml:space="preserve"> Establecer un marco legal que garantice los derechos humanos y la inclusión social de las </w:t>
            </w:r>
            <w:r w:rsidRPr="00B21CDB">
              <w:rPr>
                <w:rFonts w:ascii="Arial" w:eastAsia="Times New Roman" w:hAnsi="Arial" w:cs="Arial"/>
                <w:bCs/>
                <w:color w:val="000000"/>
                <w:szCs w:val="21"/>
                <w:lang w:eastAsia="es-MX"/>
              </w:rPr>
              <w:lastRenderedPageBreak/>
              <w:t>poblaciones callejeras.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6151F2" w:rsidRPr="00B21CDB" w:rsidRDefault="006151F2" w:rsidP="002C0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</w:pPr>
            <w:r w:rsidRPr="00B21CDB"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  <w:lastRenderedPageBreak/>
              <w:t xml:space="preserve">545. 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t xml:space="preserve">Armonizar las reglas de operación de los programas sociales a efecto de garantizar a las personas de poblaciones </w:t>
            </w:r>
            <w:r w:rsidRPr="00B21CDB">
              <w:rPr>
                <w:rFonts w:ascii="Arial" w:eastAsia="Times New Roman" w:hAnsi="Arial" w:cs="Arial"/>
                <w:color w:val="000000"/>
                <w:szCs w:val="21"/>
                <w:lang w:eastAsia="es-MX"/>
              </w:rPr>
              <w:lastRenderedPageBreak/>
              <w:t>callejeras el acceso pleno a dichos programas, tomando en cuenta los problemas de acceso que enfrentan.</w:t>
            </w:r>
          </w:p>
        </w:tc>
        <w:tc>
          <w:tcPr>
            <w:tcW w:w="4120" w:type="dxa"/>
            <w:shd w:val="clear" w:color="auto" w:fill="auto"/>
          </w:tcPr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lastRenderedPageBreak/>
              <w:t>Secretaría de Desarrollo Social de la Ciudad de México / Instituto de Asistencia e Integración Social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 xml:space="preserve">Consejo de Evaluación del </w:t>
            </w:r>
            <w:r w:rsidRPr="00B21CDB">
              <w:rPr>
                <w:rFonts w:ascii="Arial" w:hAnsi="Arial" w:cs="Arial"/>
                <w:szCs w:val="21"/>
              </w:rPr>
              <w:lastRenderedPageBreak/>
              <w:t>Desarrollo Social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Consejería Jurídica y de Servicios Legales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Sistema para el Desarrollo Integral de la Familia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Procuraduría General de Justicia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Trabajo y Fomento al Empleo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Instituto para la Atención y Prevención de las Adicciones en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Seguridad Pública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Cultura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Instituto del Deporte de la Ciudad de México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Finanzas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b/>
                <w:szCs w:val="21"/>
              </w:rPr>
            </w:pPr>
            <w:r w:rsidRPr="00B21CDB">
              <w:rPr>
                <w:rFonts w:ascii="Arial" w:hAnsi="Arial" w:cs="Arial"/>
                <w:b/>
                <w:szCs w:val="21"/>
              </w:rPr>
              <w:t>Contraloría General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hAnsi="Arial" w:cs="Arial"/>
                <w:szCs w:val="21"/>
              </w:rPr>
            </w:pPr>
            <w:r w:rsidRPr="00B21CDB">
              <w:rPr>
                <w:rFonts w:ascii="Arial" w:hAnsi="Arial" w:cs="Arial"/>
                <w:szCs w:val="21"/>
              </w:rPr>
              <w:t>Secretaría de Salud del Distrito Federal</w:t>
            </w:r>
          </w:p>
          <w:p w:rsidR="006151F2" w:rsidRPr="00B21CDB" w:rsidRDefault="006151F2" w:rsidP="002C0E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Arial" w:eastAsia="Times New Roman" w:hAnsi="Arial" w:cs="Arial"/>
                <w:b/>
                <w:color w:val="000000"/>
                <w:szCs w:val="21"/>
                <w:lang w:eastAsia="es-MX"/>
              </w:rPr>
            </w:pPr>
            <w:r w:rsidRPr="00B21CDB">
              <w:rPr>
                <w:rFonts w:ascii="Arial" w:hAnsi="Arial" w:cs="Arial"/>
                <w:szCs w:val="21"/>
              </w:rPr>
              <w:t>Secretaría de Educación del Gobierno de la Ciudad de México</w:t>
            </w:r>
          </w:p>
        </w:tc>
      </w:tr>
    </w:tbl>
    <w:p w:rsidR="00F04979" w:rsidRPr="00B21CDB" w:rsidRDefault="00F04979">
      <w:pPr>
        <w:rPr>
          <w:rFonts w:ascii="Arial" w:hAnsi="Arial" w:cs="Arial"/>
          <w:szCs w:val="21"/>
        </w:rPr>
      </w:pPr>
    </w:p>
    <w:sectPr w:rsidR="00F04979" w:rsidRPr="00B21CDB" w:rsidSect="00B21CDB">
      <w:headerReference w:type="default" r:id="rId8"/>
      <w:footerReference w:type="default" r:id="rId9"/>
      <w:pgSz w:w="20160" w:h="12240" w:orient="landscape" w:code="5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F5" w:rsidRDefault="00811BF5" w:rsidP="008E2A68">
      <w:pPr>
        <w:spacing w:after="0" w:line="240" w:lineRule="auto"/>
      </w:pPr>
      <w:r>
        <w:separator/>
      </w:r>
    </w:p>
  </w:endnote>
  <w:endnote w:type="continuationSeparator" w:id="0">
    <w:p w:rsidR="00811BF5" w:rsidRDefault="00811BF5" w:rsidP="008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8" w:rsidRDefault="008E2A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466294" wp14:editId="1040BC6F">
          <wp:simplePos x="0" y="0"/>
          <wp:positionH relativeFrom="margin">
            <wp:posOffset>11039475</wp:posOffset>
          </wp:positionH>
          <wp:positionV relativeFrom="paragraph">
            <wp:posOffset>-27305</wp:posOffset>
          </wp:positionV>
          <wp:extent cx="425450" cy="428625"/>
          <wp:effectExtent l="0" t="0" r="0" b="9525"/>
          <wp:wrapThrough wrapText="bothSides">
            <wp:wrapPolygon edited="0">
              <wp:start x="0" y="0"/>
              <wp:lineTo x="0" y="21120"/>
              <wp:lineTo x="20310" y="21120"/>
              <wp:lineTo x="20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F5" w:rsidRDefault="00811BF5" w:rsidP="008E2A68">
      <w:pPr>
        <w:spacing w:after="0" w:line="240" w:lineRule="auto"/>
      </w:pPr>
      <w:r>
        <w:separator/>
      </w:r>
    </w:p>
  </w:footnote>
  <w:footnote w:type="continuationSeparator" w:id="0">
    <w:p w:rsidR="00811BF5" w:rsidRDefault="00811BF5" w:rsidP="008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68" w:rsidRDefault="008E2A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5966C04" wp14:editId="46BA89D4">
          <wp:simplePos x="0" y="0"/>
          <wp:positionH relativeFrom="column">
            <wp:posOffset>9139555</wp:posOffset>
          </wp:positionH>
          <wp:positionV relativeFrom="paragraph">
            <wp:posOffset>-271145</wp:posOffset>
          </wp:positionV>
          <wp:extent cx="2255520" cy="552450"/>
          <wp:effectExtent l="0" t="0" r="0" b="0"/>
          <wp:wrapThrough wrapText="bothSides">
            <wp:wrapPolygon edited="0">
              <wp:start x="0" y="0"/>
              <wp:lineTo x="0" y="20855"/>
              <wp:lineTo x="17878" y="20855"/>
              <wp:lineTo x="21345" y="16386"/>
              <wp:lineTo x="21345" y="0"/>
              <wp:lineTo x="0" y="0"/>
            </wp:wrapPolygon>
          </wp:wrapThrough>
          <wp:docPr id="1" name="Imagen 1" descr="Descripción: logo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CDM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A68" w:rsidRDefault="008E2A68">
    <w:pPr>
      <w:pStyle w:val="Encabezado"/>
    </w:pPr>
  </w:p>
  <w:p w:rsidR="00DD56E8" w:rsidRDefault="00DD56E8" w:rsidP="00DD56E8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  <w:lang w:eastAsia="es-MX"/>
      </w:rPr>
    </w:pPr>
    <w:r w:rsidRPr="00280834">
      <w:rPr>
        <w:rFonts w:ascii="Arial" w:eastAsia="Times New Roman" w:hAnsi="Arial" w:cs="Arial"/>
        <w:b/>
        <w:color w:val="000000"/>
        <w:sz w:val="24"/>
        <w:szCs w:val="24"/>
        <w:lang w:eastAsia="es-MX"/>
      </w:rPr>
      <w:t>Programa de Derechos Humanos de la Ciudad de México (2016-2021)</w:t>
    </w:r>
  </w:p>
  <w:p w:rsidR="00DD56E8" w:rsidRPr="00280834" w:rsidRDefault="00DD56E8" w:rsidP="00DD56E8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  <w:lang w:eastAsia="es-MX"/>
      </w:rPr>
    </w:pPr>
    <w:r w:rsidRPr="00280834">
      <w:rPr>
        <w:rFonts w:ascii="Arial" w:eastAsia="Times New Roman" w:hAnsi="Arial" w:cs="Arial"/>
        <w:b/>
        <w:color w:val="000000"/>
        <w:sz w:val="24"/>
        <w:szCs w:val="24"/>
        <w:lang w:eastAsia="es-MX"/>
      </w:rPr>
      <w:t xml:space="preserve">Estrategias asignadas a la Contraloría General </w:t>
    </w:r>
    <w:r>
      <w:rPr>
        <w:rFonts w:ascii="Arial" w:eastAsia="Times New Roman" w:hAnsi="Arial" w:cs="Arial"/>
        <w:b/>
        <w:color w:val="000000"/>
        <w:sz w:val="24"/>
        <w:szCs w:val="24"/>
        <w:lang w:eastAsia="es-MX"/>
      </w:rPr>
      <w:t>de la Ciudad de México</w:t>
    </w:r>
  </w:p>
  <w:p w:rsidR="00DD56E8" w:rsidRPr="00DD56E8" w:rsidRDefault="00DD56E8" w:rsidP="00DD56E8">
    <w:pPr>
      <w:spacing w:after="0" w:line="240" w:lineRule="auto"/>
      <w:jc w:val="center"/>
      <w:rPr>
        <w:rFonts w:ascii="Arial" w:hAnsi="Arial" w:cs="Arial"/>
        <w:sz w:val="14"/>
        <w:szCs w:val="24"/>
      </w:rPr>
    </w:pPr>
  </w:p>
  <w:tbl>
    <w:tblPr>
      <w:tblW w:w="16302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1843"/>
      <w:gridCol w:w="2835"/>
      <w:gridCol w:w="2835"/>
      <w:gridCol w:w="3251"/>
      <w:gridCol w:w="4120"/>
    </w:tblGrid>
    <w:tr w:rsidR="006151F2" w:rsidRPr="00DB5072" w:rsidTr="006151F2">
      <w:trPr>
        <w:trHeight w:val="20"/>
        <w:jc w:val="center"/>
      </w:trPr>
      <w:tc>
        <w:tcPr>
          <w:tcW w:w="1418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6151F2" w:rsidRPr="00DB5072" w:rsidRDefault="006151F2" w:rsidP="002C0E6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Tomo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6151F2" w:rsidRPr="00DB5072" w:rsidRDefault="006151F2" w:rsidP="002C0E6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 w:rsidRPr="00DB5072"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Capítulo</w:t>
          </w:r>
        </w:p>
      </w:tc>
      <w:tc>
        <w:tcPr>
          <w:tcW w:w="2835" w:type="dxa"/>
          <w:tcBorders>
            <w:bottom w:val="single" w:sz="4" w:space="0" w:color="auto"/>
          </w:tcBorders>
          <w:shd w:val="clear" w:color="auto" w:fill="D9D9D9" w:themeFill="background1" w:themeFillShade="D9"/>
          <w:hideMark/>
        </w:tcPr>
        <w:p w:rsidR="006151F2" w:rsidRPr="00DB5072" w:rsidRDefault="006151F2" w:rsidP="002C0E6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 w:rsidRPr="00DB5072"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Objetivo general</w:t>
          </w:r>
        </w:p>
      </w:tc>
      <w:tc>
        <w:tcPr>
          <w:tcW w:w="2835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hideMark/>
        </w:tcPr>
        <w:p w:rsidR="006151F2" w:rsidRPr="00DB5072" w:rsidRDefault="006151F2" w:rsidP="002C0E6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 w:rsidRPr="00DB5072"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Objetivo específico</w:t>
          </w:r>
        </w:p>
      </w:tc>
      <w:tc>
        <w:tcPr>
          <w:tcW w:w="3251" w:type="dxa"/>
          <w:tcBorders>
            <w:bottom w:val="single" w:sz="4" w:space="0" w:color="auto"/>
          </w:tcBorders>
          <w:shd w:val="clear" w:color="auto" w:fill="D9D9D9" w:themeFill="background1" w:themeFillShade="D9"/>
          <w:hideMark/>
        </w:tcPr>
        <w:p w:rsidR="006151F2" w:rsidRPr="00DB5072" w:rsidRDefault="006151F2" w:rsidP="002C0E6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 w:rsidRPr="00DB5072"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Estrategias</w:t>
          </w:r>
        </w:p>
      </w:tc>
      <w:tc>
        <w:tcPr>
          <w:tcW w:w="41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6151F2" w:rsidRPr="00DB5072" w:rsidRDefault="006151F2" w:rsidP="002C0E6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 w:rsidRPr="00DB5072"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Entes responsables</w:t>
          </w:r>
        </w:p>
      </w:tc>
    </w:tr>
  </w:tbl>
  <w:p w:rsidR="00DD56E8" w:rsidRPr="00DD56E8" w:rsidRDefault="00DD56E8" w:rsidP="00DD56E8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663"/>
    <w:multiLevelType w:val="hybridMultilevel"/>
    <w:tmpl w:val="2CFC2AB2"/>
    <w:lvl w:ilvl="0" w:tplc="7B363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8D8"/>
    <w:multiLevelType w:val="hybridMultilevel"/>
    <w:tmpl w:val="BCAA59B2"/>
    <w:lvl w:ilvl="0" w:tplc="6E54F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29C"/>
    <w:multiLevelType w:val="hybridMultilevel"/>
    <w:tmpl w:val="04127D16"/>
    <w:lvl w:ilvl="0" w:tplc="14767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2070"/>
    <w:multiLevelType w:val="hybridMultilevel"/>
    <w:tmpl w:val="076029A2"/>
    <w:lvl w:ilvl="0" w:tplc="7B363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7AA0"/>
    <w:multiLevelType w:val="hybridMultilevel"/>
    <w:tmpl w:val="511CF3E2"/>
    <w:lvl w:ilvl="0" w:tplc="7B363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F1F22"/>
    <w:multiLevelType w:val="hybridMultilevel"/>
    <w:tmpl w:val="5A56F9CE"/>
    <w:lvl w:ilvl="0" w:tplc="EADC9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C049E"/>
    <w:multiLevelType w:val="hybridMultilevel"/>
    <w:tmpl w:val="9FA871BA"/>
    <w:lvl w:ilvl="0" w:tplc="7B363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5713"/>
    <w:multiLevelType w:val="hybridMultilevel"/>
    <w:tmpl w:val="849237E8"/>
    <w:lvl w:ilvl="0" w:tplc="7B363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E"/>
    <w:rsid w:val="0004058D"/>
    <w:rsid w:val="00067FFD"/>
    <w:rsid w:val="000A6F93"/>
    <w:rsid w:val="00153EF7"/>
    <w:rsid w:val="00192933"/>
    <w:rsid w:val="00270756"/>
    <w:rsid w:val="00280834"/>
    <w:rsid w:val="00316537"/>
    <w:rsid w:val="003D41D8"/>
    <w:rsid w:val="004A3032"/>
    <w:rsid w:val="006151F2"/>
    <w:rsid w:val="006B6D23"/>
    <w:rsid w:val="007C2EC4"/>
    <w:rsid w:val="00802753"/>
    <w:rsid w:val="00811BF5"/>
    <w:rsid w:val="00844011"/>
    <w:rsid w:val="008814F6"/>
    <w:rsid w:val="008E2A68"/>
    <w:rsid w:val="008F6CC8"/>
    <w:rsid w:val="009E485E"/>
    <w:rsid w:val="009E7179"/>
    <w:rsid w:val="00A13AAC"/>
    <w:rsid w:val="00B00FF5"/>
    <w:rsid w:val="00B21CDB"/>
    <w:rsid w:val="00C21600"/>
    <w:rsid w:val="00CE095C"/>
    <w:rsid w:val="00D06F13"/>
    <w:rsid w:val="00D20952"/>
    <w:rsid w:val="00DA0811"/>
    <w:rsid w:val="00DB5072"/>
    <w:rsid w:val="00DC3B8D"/>
    <w:rsid w:val="00DD56E8"/>
    <w:rsid w:val="00DF4840"/>
    <w:rsid w:val="00DF7839"/>
    <w:rsid w:val="00E1107E"/>
    <w:rsid w:val="00E609F7"/>
    <w:rsid w:val="00E92170"/>
    <w:rsid w:val="00F04979"/>
    <w:rsid w:val="00F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A68"/>
  </w:style>
  <w:style w:type="paragraph" w:styleId="Piedepgina">
    <w:name w:val="footer"/>
    <w:basedOn w:val="Normal"/>
    <w:link w:val="Piedepgina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A68"/>
  </w:style>
  <w:style w:type="paragraph" w:styleId="Textodeglobo">
    <w:name w:val="Balloon Text"/>
    <w:basedOn w:val="Normal"/>
    <w:link w:val="TextodegloboCar"/>
    <w:uiPriority w:val="99"/>
    <w:semiHidden/>
    <w:unhideWhenUsed/>
    <w:rsid w:val="00D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A68"/>
  </w:style>
  <w:style w:type="paragraph" w:styleId="Piedepgina">
    <w:name w:val="footer"/>
    <w:basedOn w:val="Normal"/>
    <w:link w:val="PiedepginaCar"/>
    <w:uiPriority w:val="99"/>
    <w:unhideWhenUsed/>
    <w:rsid w:val="008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A68"/>
  </w:style>
  <w:style w:type="paragraph" w:styleId="Textodeglobo">
    <w:name w:val="Balloon Text"/>
    <w:basedOn w:val="Normal"/>
    <w:link w:val="TextodegloboCar"/>
    <w:uiPriority w:val="99"/>
    <w:semiHidden/>
    <w:unhideWhenUsed/>
    <w:rsid w:val="00D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</dc:creator>
  <cp:lastModifiedBy>lguerrero</cp:lastModifiedBy>
  <cp:revision>6</cp:revision>
  <cp:lastPrinted>2017-02-09T20:29:00Z</cp:lastPrinted>
  <dcterms:created xsi:type="dcterms:W3CDTF">2017-02-09T20:19:00Z</dcterms:created>
  <dcterms:modified xsi:type="dcterms:W3CDTF">2017-04-17T23:31:00Z</dcterms:modified>
</cp:coreProperties>
</file>